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D01C5" w:rsidR="004319D8" w:rsidP="004319D8" w:rsidRDefault="004319D8" w14:paraId="5D62F3C6" w14:textId="6602F592">
      <w:pPr>
        <w:spacing w:after="0" w:line="240" w:lineRule="auto"/>
        <w:jc w:val="center"/>
        <w:rPr>
          <w:rFonts w:ascii="Arial" w:hAnsi="Arial" w:cs="Arial"/>
        </w:rPr>
      </w:pPr>
      <w:r w:rsidRPr="002D01C5">
        <w:rPr>
          <w:rFonts w:ascii="Arial" w:hAnsi="Arial" w:cs="Arial"/>
          <w:b/>
          <w:bCs/>
        </w:rPr>
        <w:t xml:space="preserve">SAMPLE </w:t>
      </w:r>
      <w:r>
        <w:rPr>
          <w:rFonts w:ascii="Arial" w:hAnsi="Arial" w:cs="Arial"/>
          <w:b/>
          <w:bCs/>
        </w:rPr>
        <w:t>NEWS RELEASE</w:t>
      </w:r>
    </w:p>
    <w:p w:rsidR="004319D8" w:rsidP="004319D8" w:rsidRDefault="004319D8" w14:paraId="356CA0EE" w14:textId="77777777">
      <w:pPr>
        <w:spacing w:after="0" w:line="240" w:lineRule="auto"/>
        <w:rPr>
          <w:rFonts w:ascii="Arial" w:hAnsi="Arial" w:cs="Arial"/>
          <w:b/>
          <w:bCs/>
          <w:color w:val="77206D" w:themeColor="accent5" w:themeShade="BF"/>
        </w:rPr>
      </w:pPr>
    </w:p>
    <w:p w:rsidRPr="002D01C5" w:rsidR="004319D8" w:rsidP="004319D8" w:rsidRDefault="004319D8" w14:paraId="70D0FC1B" w14:textId="1A93DC06">
      <w:pPr>
        <w:spacing w:after="0" w:line="240" w:lineRule="auto"/>
        <w:rPr>
          <w:rFonts w:ascii="Arial" w:hAnsi="Arial" w:cs="Arial"/>
          <w:sz w:val="22"/>
          <w:szCs w:val="22"/>
        </w:rPr>
      </w:pPr>
      <w:bookmarkStart w:name="_Hlk208277185" w:id="0"/>
      <w:r w:rsidRPr="004319D8">
        <w:rPr>
          <w:rFonts w:ascii="Arial" w:hAnsi="Arial" w:cs="Arial"/>
          <w:sz w:val="22"/>
          <w:szCs w:val="22"/>
        </w:rPr>
        <w:t xml:space="preserve">Use this sample news release </w:t>
      </w:r>
      <w:r w:rsidRPr="004319D8">
        <w:rPr>
          <w:rFonts w:ascii="Arial" w:hAnsi="Arial" w:cs="Arial"/>
          <w:sz w:val="22"/>
          <w:szCs w:val="22"/>
        </w:rPr>
        <w:t xml:space="preserve">to tell Congress </w:t>
      </w:r>
      <w:r w:rsidRPr="004319D8">
        <w:rPr>
          <w:rFonts w:ascii="Arial" w:hAnsi="Arial" w:cs="Arial"/>
          <w:sz w:val="22"/>
          <w:szCs w:val="22"/>
        </w:rPr>
        <w:t>it's time to extend the enhanced premium tax credits</w:t>
      </w:r>
    </w:p>
    <w:p w:rsidRPr="004319D8" w:rsidR="004319D8" w:rsidP="004319D8" w:rsidRDefault="004319D8" w14:paraId="7CC14C1E" w14:textId="0EBEF377">
      <w:pPr>
        <w:spacing w:after="0" w:line="240" w:lineRule="auto"/>
        <w:rPr>
          <w:rFonts w:ascii="Arial" w:hAnsi="Arial" w:cs="Arial"/>
          <w:sz w:val="22"/>
          <w:szCs w:val="22"/>
        </w:rPr>
      </w:pPr>
      <w:r w:rsidRPr="18B00B1F" w:rsidR="18B00B1F">
        <w:rPr>
          <w:rFonts w:ascii="Arial" w:hAnsi="Arial" w:cs="Arial"/>
          <w:sz w:val="22"/>
          <w:szCs w:val="22"/>
        </w:rPr>
        <w:t xml:space="preserve">and help close coverage, access, affordability, and equity gaps. Use the template as is or adjust it to meet your </w:t>
      </w:r>
      <w:r w:rsidRPr="18B00B1F" w:rsidR="18B00B1F">
        <w:rPr>
          <w:rFonts w:ascii="Arial" w:hAnsi="Arial" w:cs="Arial"/>
          <w:sz w:val="22"/>
          <w:szCs w:val="22"/>
        </w:rPr>
        <w:t>organization's</w:t>
      </w:r>
      <w:r w:rsidRPr="18B00B1F" w:rsidR="18B00B1F">
        <w:rPr>
          <w:rFonts w:ascii="Arial" w:hAnsi="Arial" w:cs="Arial"/>
          <w:sz w:val="22"/>
          <w:szCs w:val="22"/>
        </w:rPr>
        <w:t xml:space="preserve"> and community’s needs. Send it to your local media outlets, especially </w:t>
      </w:r>
      <w:hyperlink r:id="R3b68279792204f2e">
        <w:r w:rsidRPr="18B00B1F" w:rsidR="18B00B1F">
          <w:rPr>
            <w:rStyle w:val="Hyperlink"/>
            <w:rFonts w:ascii="Arial" w:hAnsi="Arial" w:cs="Arial"/>
            <w:color w:val="auto"/>
            <w:sz w:val="22"/>
            <w:szCs w:val="22"/>
          </w:rPr>
          <w:t>nonprofit newsrooms</w:t>
        </w:r>
      </w:hyperlink>
      <w:r w:rsidRPr="18B00B1F" w:rsidR="18B00B1F">
        <w:rPr>
          <w:rFonts w:ascii="Arial" w:hAnsi="Arial" w:cs="Arial"/>
          <w:sz w:val="22"/>
          <w:szCs w:val="22"/>
        </w:rPr>
        <w:t xml:space="preserve"> who are often aligned with our views on equity and justice for all. </w:t>
      </w:r>
      <w:bookmarkStart w:name="_Hlk208276815" w:id="1"/>
      <w:r w:rsidRPr="18B00B1F" w:rsidR="18B00B1F">
        <w:rPr>
          <w:rFonts w:ascii="Arial" w:hAnsi="Arial" w:cs="Arial"/>
          <w:sz w:val="22"/>
          <w:szCs w:val="22"/>
        </w:rPr>
        <w:t>We’ve</w:t>
      </w:r>
      <w:r w:rsidRPr="18B00B1F" w:rsidR="18B00B1F">
        <w:rPr>
          <w:rFonts w:ascii="Arial" w:hAnsi="Arial" w:cs="Arial"/>
          <w:sz w:val="22"/>
          <w:szCs w:val="22"/>
        </w:rPr>
        <w:t xml:space="preserve"> linked to related Families USA</w:t>
      </w:r>
      <w:r w:rsidRPr="18B00B1F" w:rsidR="18B00B1F">
        <w:rPr>
          <w:rFonts w:ascii="Arial" w:hAnsi="Arial" w:cs="Arial"/>
          <w:sz w:val="22"/>
          <w:szCs w:val="22"/>
        </w:rPr>
        <w:t>, Community Catalyst,</w:t>
      </w:r>
      <w:r w:rsidRPr="18B00B1F" w:rsidR="18B00B1F">
        <w:rPr>
          <w:rFonts w:ascii="Arial" w:hAnsi="Arial" w:cs="Arial"/>
          <w:sz w:val="22"/>
          <w:szCs w:val="22"/>
        </w:rPr>
        <w:t xml:space="preserve"> and other resources in the template. Feel free to link to your own or other organizations as you see fit. </w:t>
      </w:r>
      <w:bookmarkEnd w:id="1"/>
    </w:p>
    <w:bookmarkEnd w:id="0"/>
    <w:p w:rsidRPr="004319D8" w:rsidR="0058545D" w:rsidP="004319D8" w:rsidRDefault="004319D8" w14:paraId="61531B80" w14:textId="16F2CC95">
      <w:pPr>
        <w:tabs>
          <w:tab w:val="right" w:pos="10800"/>
        </w:tabs>
        <w:spacing w:after="0" w:line="240" w:lineRule="auto"/>
        <w:rPr>
          <w:rFonts w:ascii="Arial" w:hAnsi="Arial" w:cs="Arial"/>
          <w:b/>
          <w:bCs/>
          <w:color w:val="215E99" w:themeColor="text2" w:themeTint="BF"/>
          <w:sz w:val="22"/>
          <w:szCs w:val="22"/>
        </w:rPr>
      </w:pPr>
      <w:r w:rsidRPr="004319D8">
        <w:rPr>
          <w:rFonts w:ascii="Arial" w:hAnsi="Arial" w:cs="Arial"/>
          <w:b/>
          <w:bCs/>
          <w:sz w:val="22"/>
          <w:szCs w:val="22"/>
        </w:rPr>
        <w:t>_________</w:t>
      </w:r>
      <w:r w:rsidRPr="004319D8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>_</w:t>
      </w:r>
      <w:r w:rsidRPr="004319D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_____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Pr="004319D8" w:rsidR="0058545D" w:rsidP="0058545D" w:rsidRDefault="0058545D" w14:paraId="25C4E09C" w14:textId="77777777">
      <w:pPr>
        <w:spacing w:after="0" w:line="240" w:lineRule="auto"/>
        <w:rPr>
          <w:rFonts w:ascii="Arial" w:hAnsi="Arial" w:cs="Arial"/>
          <w:b/>
          <w:bCs/>
          <w:color w:val="215E99" w:themeColor="text2" w:themeTint="BF"/>
          <w:sz w:val="22"/>
          <w:szCs w:val="22"/>
        </w:rPr>
      </w:pPr>
    </w:p>
    <w:p w:rsidRPr="004319D8" w:rsidR="0058545D" w:rsidP="0058545D" w:rsidRDefault="0058545D" w14:paraId="75726C72" w14:textId="10CECCA8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4319D8">
        <w:rPr>
          <w:rFonts w:ascii="Arial" w:hAnsi="Arial" w:cs="Arial"/>
          <w:b/>
          <w:bCs/>
          <w:sz w:val="22"/>
          <w:szCs w:val="22"/>
        </w:rPr>
        <w:t>[Date]</w:t>
      </w:r>
    </w:p>
    <w:p w:rsidRPr="004319D8" w:rsidR="0058545D" w:rsidP="0058545D" w:rsidRDefault="00881323" w14:paraId="599C2CD9" w14:textId="6FF0C14E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4319D8">
        <w:rPr>
          <w:rFonts w:ascii="Arial" w:hAnsi="Arial" w:cs="Arial"/>
          <w:b/>
          <w:bCs/>
          <w:sz w:val="22"/>
          <w:szCs w:val="22"/>
        </w:rPr>
        <w:t>[</w:t>
      </w:r>
      <w:r w:rsidRPr="004319D8" w:rsidR="0058545D">
        <w:rPr>
          <w:rFonts w:ascii="Arial" w:hAnsi="Arial" w:cs="Arial"/>
          <w:b/>
          <w:bCs/>
          <w:sz w:val="22"/>
          <w:szCs w:val="22"/>
        </w:rPr>
        <w:t>Your organization’s media relations contact’s name and phone number/email address</w:t>
      </w:r>
      <w:r w:rsidRPr="004319D8">
        <w:rPr>
          <w:rFonts w:ascii="Arial" w:hAnsi="Arial" w:cs="Arial"/>
          <w:b/>
          <w:bCs/>
          <w:sz w:val="22"/>
          <w:szCs w:val="22"/>
        </w:rPr>
        <w:t>]</w:t>
      </w:r>
    </w:p>
    <w:p w:rsidRPr="004319D8" w:rsidR="0058545D" w:rsidP="0058545D" w:rsidRDefault="0058545D" w14:paraId="2E19AADF" w14:textId="77777777">
      <w:pPr>
        <w:spacing w:after="0" w:line="240" w:lineRule="auto"/>
        <w:rPr>
          <w:rFonts w:ascii="Arial" w:hAnsi="Arial" w:cs="Arial"/>
          <w:b/>
          <w:bCs/>
          <w:color w:val="215E99" w:themeColor="text2" w:themeTint="BF"/>
          <w:sz w:val="22"/>
          <w:szCs w:val="22"/>
        </w:rPr>
      </w:pPr>
    </w:p>
    <w:p w:rsidRPr="004319D8" w:rsidR="000C0A53" w:rsidP="0058545D" w:rsidRDefault="000C0A53" w14:paraId="05658751" w14:textId="77777777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Pr="004319D8" w:rsidR="000C0A53" w:rsidP="0058545D" w:rsidRDefault="000C0A53" w14:paraId="38EA7740" w14:textId="1ED7F358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1B224507" w:rsidR="1B224507">
        <w:rPr>
          <w:rFonts w:ascii="Arial" w:hAnsi="Arial" w:cs="Arial"/>
          <w:b w:val="1"/>
          <w:bCs w:val="1"/>
          <w:sz w:val="22"/>
          <w:szCs w:val="22"/>
        </w:rPr>
        <w:t>[Your Member of Congress’ Name]</w:t>
      </w:r>
      <w:r w:rsidRPr="1B224507" w:rsidR="1B224507">
        <w:rPr>
          <w:rFonts w:ascii="Arial" w:hAnsi="Arial" w:cs="Arial"/>
          <w:sz w:val="22"/>
          <w:szCs w:val="22"/>
        </w:rPr>
        <w:t>,</w:t>
      </w:r>
      <w:r w:rsidRPr="1B224507" w:rsidR="1B224507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1B224507" w:rsidR="1B224507">
        <w:rPr>
          <w:rFonts w:ascii="Arial" w:hAnsi="Arial" w:cs="Arial"/>
          <w:sz w:val="22"/>
          <w:szCs w:val="22"/>
        </w:rPr>
        <w:t>Act</w:t>
      </w:r>
      <w:r w:rsidRPr="1B224507" w:rsidR="1B224507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1B224507" w:rsidR="1B224507">
        <w:rPr>
          <w:rFonts w:ascii="Arial" w:hAnsi="Arial" w:cs="Arial"/>
          <w:sz w:val="22"/>
          <w:szCs w:val="22"/>
        </w:rPr>
        <w:t>Now</w:t>
      </w:r>
      <w:r w:rsidRPr="1B224507" w:rsidR="1B224507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1B224507" w:rsidR="1B224507">
        <w:rPr>
          <w:rFonts w:ascii="Arial" w:hAnsi="Arial" w:cs="Arial"/>
          <w:sz w:val="22"/>
          <w:szCs w:val="22"/>
        </w:rPr>
        <w:t xml:space="preserve">to </w:t>
      </w:r>
      <w:r w:rsidRPr="1B224507" w:rsidR="1B224507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Permanently</w:t>
      </w:r>
      <w:r w:rsidRPr="1B224507" w:rsidR="1B22450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B224507" w:rsidR="1B224507">
        <w:rPr>
          <w:rFonts w:ascii="Arial" w:hAnsi="Arial" w:cs="Arial"/>
          <w:sz w:val="22"/>
          <w:szCs w:val="22"/>
        </w:rPr>
        <w:t xml:space="preserve">Extend the Enhanced ACA Tax Credits and Keep Health Care Affordable for </w:t>
      </w:r>
      <w:r w:rsidRPr="1B224507" w:rsidR="1B224507">
        <w:rPr>
          <w:rFonts w:ascii="Arial" w:hAnsi="Arial" w:cs="Arial"/>
          <w:b w:val="1"/>
          <w:bCs w:val="1"/>
          <w:sz w:val="22"/>
          <w:szCs w:val="22"/>
        </w:rPr>
        <w:t xml:space="preserve">[Your State] </w:t>
      </w:r>
      <w:r w:rsidRPr="1B224507" w:rsidR="1B224507">
        <w:rPr>
          <w:rFonts w:ascii="Arial" w:hAnsi="Arial" w:cs="Arial"/>
          <w:sz w:val="22"/>
          <w:szCs w:val="22"/>
        </w:rPr>
        <w:t>Residents</w:t>
      </w:r>
    </w:p>
    <w:p w:rsidRPr="004319D8" w:rsidR="000C0A53" w:rsidP="0058545D" w:rsidRDefault="000C0A53" w14:paraId="4C4AD444" w14:textId="77777777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Pr="004319D8" w:rsidR="000C0A53" w:rsidP="0058545D" w:rsidRDefault="000C0A53" w14:paraId="196EB810" w14:textId="56F079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 xml:space="preserve">[City and State where your organization is 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>located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>]</w:t>
      </w:r>
      <w:r w:rsidRPr="18B00B1F" w:rsidR="18B00B1F">
        <w:rPr>
          <w:rFonts w:ascii="Arial" w:hAnsi="Arial" w:cs="Arial"/>
          <w:sz w:val="22"/>
          <w:szCs w:val="22"/>
        </w:rPr>
        <w:t xml:space="preserve"> — </w:t>
      </w:r>
      <w:r w:rsidRPr="18B00B1F" w:rsidR="18B00B1F">
        <w:rPr>
          <w:rFonts w:ascii="Arial" w:hAnsi="Arial" w:cs="Arial"/>
          <w:sz w:val="22"/>
          <w:szCs w:val="22"/>
        </w:rPr>
        <w:t>22</w:t>
      </w:r>
      <w:r w:rsidRPr="18B00B1F" w:rsidR="18B00B1F">
        <w:rPr>
          <w:rFonts w:ascii="Arial" w:hAnsi="Arial" w:cs="Arial"/>
          <w:sz w:val="22"/>
          <w:szCs w:val="22"/>
        </w:rPr>
        <w:t xml:space="preserve"> million Americans, including 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 xml:space="preserve">XX </w:t>
      </w:r>
      <w:r w:rsidRPr="18B00B1F" w:rsidR="18B00B1F">
        <w:rPr>
          <w:rFonts w:ascii="Arial" w:hAnsi="Arial" w:cs="Arial"/>
          <w:sz w:val="22"/>
          <w:szCs w:val="22"/>
        </w:rPr>
        <w:t xml:space="preserve">residents of 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>[Your State],</w:t>
      </w:r>
      <w:r w:rsidRPr="18B00B1F" w:rsidR="18B00B1F">
        <w:rPr>
          <w:rFonts w:ascii="Arial" w:hAnsi="Arial" w:cs="Arial"/>
          <w:sz w:val="22"/>
          <w:szCs w:val="22"/>
        </w:rPr>
        <w:t xml:space="preserve"> who access health care through the Affordable Care Act marketplaces, rely on </w:t>
      </w:r>
      <w:hyperlink r:id="Recdea06fa9c545b9">
        <w:r w:rsidRPr="18B00B1F" w:rsidR="18B00B1F">
          <w:rPr>
            <w:rStyle w:val="Hyperlink"/>
            <w:rFonts w:ascii="Arial" w:hAnsi="Arial" w:cs="Arial"/>
            <w:sz w:val="22"/>
            <w:szCs w:val="22"/>
          </w:rPr>
          <w:t>enhanced premium tax credits to make their health insurance premiums more affordable</w:t>
        </w:r>
      </w:hyperlink>
      <w:r w:rsidRPr="18B00B1F" w:rsidR="18B00B1F">
        <w:rPr>
          <w:rFonts w:ascii="Arial" w:hAnsi="Arial" w:cs="Arial"/>
          <w:sz w:val="22"/>
          <w:szCs w:val="22"/>
        </w:rPr>
        <w:t xml:space="preserve">. These enhancements have enabled many individuals and families to access health care that was previously out of reach, with some even qualifying for plans with no monthly cost. </w:t>
      </w:r>
      <w:r w:rsidRPr="18B00B1F" w:rsidR="18B00B1F">
        <w:rPr>
          <w:rFonts w:ascii="Arial" w:hAnsi="Arial" w:cs="Arial"/>
          <w:sz w:val="22"/>
          <w:szCs w:val="22"/>
        </w:rPr>
        <w:t>That’s</w:t>
      </w:r>
      <w:r w:rsidRPr="18B00B1F" w:rsidR="18B00B1F">
        <w:rPr>
          <w:rFonts w:ascii="Arial" w:hAnsi="Arial" w:cs="Arial"/>
          <w:sz w:val="22"/>
          <w:szCs w:val="22"/>
        </w:rPr>
        <w:t xml:space="preserve"> why they are popular with </w:t>
      </w:r>
      <w:hyperlink r:id="Rb64df95daa6f4d2c">
        <w:r w:rsidRPr="18B00B1F" w:rsidR="18B00B1F">
          <w:rPr>
            <w:rStyle w:val="Hyperlink"/>
            <w:rFonts w:ascii="Arial" w:hAnsi="Arial" w:cs="Arial"/>
            <w:sz w:val="22"/>
            <w:szCs w:val="22"/>
          </w:rPr>
          <w:t>voters across political parties and ideologies</w:t>
        </w:r>
      </w:hyperlink>
      <w:r w:rsidRPr="18B00B1F" w:rsidR="18B00B1F">
        <w:rPr>
          <w:rFonts w:ascii="Arial" w:hAnsi="Arial" w:cs="Arial"/>
          <w:sz w:val="22"/>
          <w:szCs w:val="22"/>
        </w:rPr>
        <w:t>.</w:t>
      </w:r>
    </w:p>
    <w:p w:rsidRPr="004319D8" w:rsidR="000C0A53" w:rsidP="0058545D" w:rsidRDefault="000C0A53" w14:paraId="671B60A8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4319D8" w:rsidR="0064506F" w:rsidP="0058545D" w:rsidRDefault="0064506F" w14:paraId="0631DC16" w14:textId="4F918175">
      <w:pPr>
        <w:spacing w:after="0" w:line="240" w:lineRule="auto"/>
        <w:rPr>
          <w:rFonts w:ascii="Arial" w:hAnsi="Arial" w:cs="Arial"/>
          <w:sz w:val="22"/>
          <w:szCs w:val="22"/>
        </w:rPr>
      </w:pPr>
      <w:r w:rsidRPr="7EE8C3F1" w:rsidR="7EE8C3F1">
        <w:rPr>
          <w:rFonts w:ascii="Arial" w:hAnsi="Arial" w:cs="Arial"/>
          <w:sz w:val="22"/>
          <w:szCs w:val="22"/>
        </w:rPr>
        <w:t xml:space="preserve">Since Republicans recently chose to </w:t>
      </w:r>
      <w:hyperlink r:id="Rf09ff4bce61c470d">
        <w:r w:rsidRPr="7EE8C3F1" w:rsidR="7EE8C3F1">
          <w:rPr>
            <w:rStyle w:val="Hyperlink"/>
            <w:rFonts w:ascii="Arial" w:hAnsi="Arial" w:cs="Arial"/>
            <w:sz w:val="22"/>
            <w:szCs w:val="22"/>
          </w:rPr>
          <w:t>prioritize permanent tax cuts for billionaires over extending the tax credits</w:t>
        </w:r>
      </w:hyperlink>
      <w:r w:rsidRPr="7EE8C3F1" w:rsidR="7EE8C3F1">
        <w:rPr>
          <w:rFonts w:ascii="Arial" w:hAnsi="Arial" w:cs="Arial"/>
          <w:sz w:val="22"/>
          <w:szCs w:val="22"/>
        </w:rPr>
        <w:t xml:space="preserve">, which are set to expire at the end of this year, the future of these crucial </w:t>
      </w:r>
      <w:r w:rsidRPr="7EE8C3F1" w:rsidR="7EE8C3F1">
        <w:rPr>
          <w:rFonts w:ascii="Arial" w:hAnsi="Arial" w:cs="Arial"/>
          <w:sz w:val="22"/>
          <w:szCs w:val="22"/>
        </w:rPr>
        <w:t xml:space="preserve">tax credits </w:t>
      </w:r>
      <w:r w:rsidRPr="7EE8C3F1" w:rsidR="7EE8C3F1">
        <w:rPr>
          <w:rFonts w:ascii="Arial" w:hAnsi="Arial" w:cs="Arial"/>
          <w:sz w:val="22"/>
          <w:szCs w:val="22"/>
        </w:rPr>
        <w:t xml:space="preserve">is uncertain and affordable health care for millions of families, including those in </w:t>
      </w:r>
      <w:r w:rsidRPr="7EE8C3F1" w:rsidR="7EE8C3F1">
        <w:rPr>
          <w:rFonts w:ascii="Arial" w:hAnsi="Arial" w:cs="Arial"/>
          <w:b w:val="1"/>
          <w:bCs w:val="1"/>
          <w:sz w:val="22"/>
          <w:szCs w:val="22"/>
        </w:rPr>
        <w:t xml:space="preserve">[Your State] </w:t>
      </w:r>
      <w:r w:rsidRPr="7EE8C3F1" w:rsidR="7EE8C3F1">
        <w:rPr>
          <w:rFonts w:ascii="Arial" w:hAnsi="Arial" w:cs="Arial"/>
          <w:sz w:val="22"/>
          <w:szCs w:val="22"/>
        </w:rPr>
        <w:t>hangs in the balance.</w:t>
      </w:r>
    </w:p>
    <w:p w:rsidRPr="004319D8" w:rsidR="0058545D" w:rsidP="0058545D" w:rsidRDefault="0058545D" w14:paraId="297CF858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4319D8" w:rsidR="0064506F" w:rsidP="0058545D" w:rsidRDefault="0064506F" w14:paraId="23486A83" w14:textId="33AFA421">
      <w:pPr>
        <w:spacing w:after="0" w:line="240" w:lineRule="auto"/>
        <w:rPr>
          <w:rFonts w:ascii="Arial" w:hAnsi="Arial" w:cs="Arial"/>
          <w:sz w:val="22"/>
          <w:szCs w:val="22"/>
        </w:rPr>
      </w:pP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 xml:space="preserve">[Your 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>Organization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>]</w:t>
      </w:r>
      <w:r w:rsidRPr="18B00B1F" w:rsidR="18B00B1F">
        <w:rPr>
          <w:rFonts w:ascii="Arial" w:hAnsi="Arial" w:cs="Arial"/>
          <w:sz w:val="22"/>
          <w:szCs w:val="22"/>
        </w:rPr>
        <w:t xml:space="preserve"> is joining organizations nationwide in urging Congress to take swift action and protect this essential support. If 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 xml:space="preserve">[MOC’s Name] </w:t>
      </w:r>
      <w:r w:rsidRPr="18B00B1F" w:rsidR="18B00B1F">
        <w:rPr>
          <w:rFonts w:ascii="Arial" w:hAnsi="Arial" w:cs="Arial"/>
          <w:sz w:val="22"/>
          <w:szCs w:val="22"/>
        </w:rPr>
        <w:t xml:space="preserve">and other Congressional leaders ignore this call to action, </w:t>
      </w:r>
      <w:hyperlink r:id="R43c34ebbb7ba42b5">
        <w:r w:rsidRPr="18B00B1F" w:rsidR="18B00B1F">
          <w:rPr>
            <w:rStyle w:val="Hyperlink"/>
            <w:rFonts w:ascii="Arial" w:hAnsi="Arial" w:cs="Arial"/>
            <w:sz w:val="22"/>
            <w:szCs w:val="22"/>
          </w:rPr>
          <w:t>families’ premium costs will significantly increase by 2026</w:t>
        </w:r>
      </w:hyperlink>
      <w:r w:rsidRPr="18B00B1F" w:rsidR="18B00B1F">
        <w:rPr>
          <w:rFonts w:ascii="Arial" w:hAnsi="Arial" w:cs="Arial"/>
          <w:sz w:val="22"/>
          <w:szCs w:val="22"/>
        </w:rPr>
        <w:t xml:space="preserve">, jeopardizing health coverage for millions and leading to a sharp rise in their monthly expenses. Families are already grappling with the </w:t>
      </w:r>
      <w:r w:rsidRPr="18B00B1F" w:rsidR="18B00B1F">
        <w:rPr>
          <w:rFonts w:ascii="Arial" w:hAnsi="Arial" w:cs="Arial"/>
          <w:sz w:val="22"/>
          <w:szCs w:val="22"/>
        </w:rPr>
        <w:t>high cost</w:t>
      </w:r>
      <w:r w:rsidRPr="18B00B1F" w:rsidR="18B00B1F">
        <w:rPr>
          <w:rFonts w:ascii="Arial" w:hAnsi="Arial" w:cs="Arial"/>
          <w:sz w:val="22"/>
          <w:szCs w:val="22"/>
        </w:rPr>
        <w:t xml:space="preserve"> of living. </w:t>
      </w:r>
      <w:r w:rsidRPr="18B00B1F" w:rsidR="18B00B1F">
        <w:rPr>
          <w:rFonts w:ascii="Arial" w:hAnsi="Arial" w:cs="Arial"/>
          <w:sz w:val="22"/>
          <w:szCs w:val="22"/>
        </w:rPr>
        <w:t>P</w:t>
      </w:r>
      <w:r w:rsidRPr="18B00B1F" w:rsidR="18B00B1F">
        <w:rPr>
          <w:rFonts w:ascii="Arial" w:hAnsi="Arial" w:cs="Arial"/>
          <w:sz w:val="22"/>
          <w:szCs w:val="22"/>
        </w:rPr>
        <w:t>remium increases will add another layer of financial burdens. The</w:t>
      </w:r>
      <w:hyperlink r:id="R64b9bc8d532f4143">
        <w:r w:rsidRPr="18B00B1F" w:rsidR="18B00B1F">
          <w:rPr>
            <w:rStyle w:val="Hyperlink"/>
            <w:rFonts w:ascii="Arial" w:hAnsi="Arial" w:cs="Arial"/>
            <w:sz w:val="22"/>
            <w:szCs w:val="22"/>
          </w:rPr>
          <w:t>the price of health insurance is rising faster than the price of eggs or gasoline</w:t>
        </w:r>
      </w:hyperlink>
      <w:r w:rsidRPr="18B00B1F" w:rsidR="18B00B1F">
        <w:rPr>
          <w:rFonts w:ascii="Arial" w:hAnsi="Arial" w:cs="Arial"/>
          <w:sz w:val="22"/>
          <w:szCs w:val="22"/>
        </w:rPr>
        <w:t xml:space="preserve">. </w:t>
      </w:r>
    </w:p>
    <w:p w:rsidRPr="004319D8" w:rsidR="0058545D" w:rsidP="0058545D" w:rsidRDefault="0058545D" w14:paraId="5C74D04A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4319D8" w:rsidR="0058545D" w:rsidP="0058545D" w:rsidRDefault="000C0A53" w14:paraId="7843AFAB" w14:textId="7FA1FB73">
      <w:pPr>
        <w:spacing w:after="0" w:line="240" w:lineRule="auto"/>
        <w:rPr>
          <w:rFonts w:ascii="Arial" w:hAnsi="Arial" w:cs="Arial"/>
          <w:sz w:val="22"/>
          <w:szCs w:val="22"/>
        </w:rPr>
      </w:pPr>
      <w:r w:rsidRPr="18B00B1F" w:rsidR="18B00B1F">
        <w:rPr>
          <w:rFonts w:ascii="Arial" w:hAnsi="Arial" w:cs="Arial"/>
          <w:sz w:val="22"/>
          <w:szCs w:val="22"/>
        </w:rPr>
        <w:t xml:space="preserve">“Health care is a pocketbook issue. </w:t>
      </w:r>
      <w:r w:rsidRPr="18B00B1F" w:rsidR="18B00B1F">
        <w:rPr>
          <w:rFonts w:ascii="Arial" w:hAnsi="Arial" w:cs="Arial"/>
          <w:sz w:val="22"/>
          <w:szCs w:val="22"/>
        </w:rPr>
        <w:t>It’s</w:t>
      </w:r>
      <w:r w:rsidRPr="18B00B1F" w:rsidR="18B00B1F">
        <w:rPr>
          <w:rFonts w:ascii="Arial" w:hAnsi="Arial" w:cs="Arial"/>
          <w:sz w:val="22"/>
          <w:szCs w:val="22"/>
        </w:rPr>
        <w:t xml:space="preserve"> essential to </w:t>
      </w:r>
      <w:r w:rsidRPr="18B00B1F" w:rsidR="18B00B1F">
        <w:rPr>
          <w:rFonts w:ascii="Arial" w:hAnsi="Arial" w:cs="Arial"/>
          <w:sz w:val="22"/>
          <w:szCs w:val="22"/>
        </w:rPr>
        <w:t>maintain</w:t>
      </w:r>
      <w:r w:rsidRPr="18B00B1F" w:rsidR="18B00B1F">
        <w:rPr>
          <w:rFonts w:ascii="Arial" w:hAnsi="Arial" w:cs="Arial"/>
          <w:sz w:val="22"/>
          <w:szCs w:val="22"/>
        </w:rPr>
        <w:t xml:space="preserve"> </w:t>
      </w:r>
      <w:r w:rsidRPr="18B00B1F" w:rsidR="18B00B1F">
        <w:rPr>
          <w:rFonts w:ascii="Arial" w:hAnsi="Arial" w:cs="Arial"/>
          <w:sz w:val="22"/>
          <w:szCs w:val="22"/>
        </w:rPr>
        <w:t xml:space="preserve">enhanced premium tax credits as we strive for greater affordability and accessibility. Without a permanent extension, families will be forced to choose between seeking medical care and meeting other basic needs, which they are already struggling to do. We urge 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 xml:space="preserve">[MOC’s Name] </w:t>
      </w:r>
      <w:r w:rsidRPr="18B00B1F" w:rsidR="18B00B1F">
        <w:rPr>
          <w:rFonts w:ascii="Arial" w:hAnsi="Arial" w:cs="Arial"/>
          <w:sz w:val="22"/>
          <w:szCs w:val="22"/>
        </w:rPr>
        <w:t xml:space="preserve">to act now to ensure that health care </w:t>
      </w:r>
      <w:r w:rsidRPr="18B00B1F" w:rsidR="18B00B1F">
        <w:rPr>
          <w:rFonts w:ascii="Arial" w:hAnsi="Arial" w:cs="Arial"/>
          <w:sz w:val="22"/>
          <w:szCs w:val="22"/>
        </w:rPr>
        <w:t>remains</w:t>
      </w:r>
      <w:r w:rsidRPr="18B00B1F" w:rsidR="18B00B1F">
        <w:rPr>
          <w:rFonts w:ascii="Arial" w:hAnsi="Arial" w:cs="Arial"/>
          <w:sz w:val="22"/>
          <w:szCs w:val="22"/>
        </w:rPr>
        <w:t xml:space="preserve"> accessible and affordable for families in 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>[Your State]</w:t>
      </w:r>
      <w:r w:rsidRPr="18B00B1F" w:rsidR="18B00B1F">
        <w:rPr>
          <w:rFonts w:ascii="Arial" w:hAnsi="Arial" w:cs="Arial"/>
          <w:sz w:val="22"/>
          <w:szCs w:val="22"/>
        </w:rPr>
        <w:t>,” said [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 xml:space="preserve">Your Organization’s Executive Director or Spokesperson’s Name, 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>Title</w:t>
      </w:r>
      <w:r w:rsidRPr="18B00B1F" w:rsidR="18B00B1F">
        <w:rPr>
          <w:rFonts w:ascii="Arial" w:hAnsi="Arial" w:cs="Arial"/>
          <w:b w:val="1"/>
          <w:bCs w:val="1"/>
          <w:sz w:val="22"/>
          <w:szCs w:val="22"/>
        </w:rPr>
        <w:t xml:space="preserve"> and Organization]</w:t>
      </w:r>
      <w:r w:rsidRPr="18B00B1F" w:rsidR="18B00B1F">
        <w:rPr>
          <w:rFonts w:ascii="Arial" w:hAnsi="Arial" w:cs="Arial"/>
          <w:sz w:val="22"/>
          <w:szCs w:val="22"/>
        </w:rPr>
        <w:t xml:space="preserve">. </w:t>
      </w:r>
    </w:p>
    <w:p w:rsidRPr="004319D8" w:rsidR="0058545D" w:rsidP="0058545D" w:rsidRDefault="0058545D" w14:paraId="28643DE8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4319D8" w:rsidR="00881323" w:rsidP="0058545D" w:rsidRDefault="004C52CE" w14:paraId="00101A17" w14:textId="14F1E31B">
      <w:pPr>
        <w:spacing w:after="0" w:line="240" w:lineRule="auto"/>
        <w:rPr>
          <w:rFonts w:ascii="Arial" w:hAnsi="Arial" w:cs="Arial"/>
          <w:sz w:val="22"/>
          <w:szCs w:val="22"/>
        </w:rPr>
      </w:pPr>
      <w:r w:rsidRPr="18B00B1F" w:rsidR="18B00B1F">
        <w:rPr>
          <w:rFonts w:ascii="Arial" w:hAnsi="Arial" w:cs="Arial"/>
          <w:sz w:val="22"/>
          <w:szCs w:val="22"/>
        </w:rPr>
        <w:t>Without the enhanced tax credits, the impending threat of significant coverage losses, high</w:t>
      </w:r>
      <w:r w:rsidRPr="18B00B1F" w:rsidR="18B00B1F">
        <w:rPr>
          <w:rFonts w:ascii="Arial" w:hAnsi="Arial" w:cs="Arial"/>
          <w:sz w:val="22"/>
          <w:szCs w:val="22"/>
        </w:rPr>
        <w:t xml:space="preserve"> health care costs</w:t>
      </w:r>
      <w:r w:rsidRPr="18B00B1F" w:rsidR="18B00B1F">
        <w:rPr>
          <w:rFonts w:ascii="Arial" w:hAnsi="Arial" w:cs="Arial"/>
          <w:sz w:val="22"/>
          <w:szCs w:val="22"/>
        </w:rPr>
        <w:t>, delayed medical attention, and overwhelming medical debt looms large – particularly for individuals in their 50s and 60s who lack employer-based coverage, those who are self-employed or run small businesses and families from low-income and under-resourced communities.</w:t>
      </w:r>
    </w:p>
    <w:p w:rsidRPr="004319D8" w:rsidR="004C52CE" w:rsidP="004C52CE" w:rsidRDefault="004C52CE" w14:paraId="3C8748A5" w14:textId="77777777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Pr="004319D8" w:rsidR="004C52CE" w:rsidP="004C52CE" w:rsidRDefault="004C52CE" w14:paraId="4E057086" w14:textId="7B24596B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4319D8">
        <w:rPr>
          <w:rFonts w:ascii="Arial" w:hAnsi="Arial" w:cs="Arial"/>
          <w:sz w:val="22"/>
          <w:szCs w:val="22"/>
        </w:rPr>
        <w:t># # #</w:t>
      </w:r>
    </w:p>
    <w:p w:rsidRPr="004319D8" w:rsidR="004C52CE" w:rsidP="004C52CE" w:rsidRDefault="004C52CE" w14:paraId="41BA96E0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19D8">
        <w:rPr>
          <w:rFonts w:ascii="Arial" w:hAnsi="Arial" w:cs="Arial"/>
          <w:sz w:val="22"/>
          <w:szCs w:val="22"/>
        </w:rPr>
        <w:t> </w:t>
      </w:r>
    </w:p>
    <w:p w:rsidRPr="004319D8" w:rsidR="004C52CE" w:rsidP="004C52CE" w:rsidRDefault="004C52CE" w14:paraId="2E3AF32E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19D8">
        <w:rPr>
          <w:rFonts w:ascii="Arial" w:hAnsi="Arial" w:cs="Arial"/>
          <w:b/>
          <w:bCs/>
          <w:sz w:val="22"/>
          <w:szCs w:val="22"/>
        </w:rPr>
        <w:t>[Brief explanation of your organization’s mission]</w:t>
      </w:r>
      <w:r w:rsidRPr="004319D8">
        <w:rPr>
          <w:rFonts w:ascii="Arial" w:hAnsi="Arial" w:cs="Arial"/>
          <w:sz w:val="22"/>
          <w:szCs w:val="22"/>
        </w:rPr>
        <w:t> </w:t>
      </w:r>
    </w:p>
    <w:p w:rsidRPr="004319D8" w:rsidR="004C52CE" w:rsidP="0058545D" w:rsidRDefault="004C52CE" w14:paraId="0D085AA4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4319D8" w:rsidR="00881323" w:rsidP="0058545D" w:rsidRDefault="00881323" w14:paraId="776217C2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Pr="004319D8" w:rsidR="00881323" w:rsidSect="004C52C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53"/>
    <w:rsid w:val="000213EA"/>
    <w:rsid w:val="000677FE"/>
    <w:rsid w:val="000C0A53"/>
    <w:rsid w:val="00234EEC"/>
    <w:rsid w:val="0032029D"/>
    <w:rsid w:val="004319D8"/>
    <w:rsid w:val="004C52CE"/>
    <w:rsid w:val="0058545D"/>
    <w:rsid w:val="0064506F"/>
    <w:rsid w:val="00881323"/>
    <w:rsid w:val="009C3D32"/>
    <w:rsid w:val="00FB7429"/>
    <w:rsid w:val="08EAE1D9"/>
    <w:rsid w:val="18B00B1F"/>
    <w:rsid w:val="1B224507"/>
    <w:rsid w:val="20B716DD"/>
    <w:rsid w:val="2AA42F65"/>
    <w:rsid w:val="42E56542"/>
    <w:rsid w:val="6B50547B"/>
    <w:rsid w:val="7A8349E0"/>
    <w:rsid w:val="7EE8C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6F89"/>
  <w15:chartTrackingRefBased/>
  <w15:docId w15:val="{B56D63B6-4422-4CC4-96B7-E16F8986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A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A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C0A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C0A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C0A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C0A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C0A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C0A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C0A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C0A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C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A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0A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C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A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C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A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C0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A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0A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hyperlink" Target="https://findyournews.org/" TargetMode="External" Id="R3b68279792204f2e" /><Relationship Type="http://schemas.openxmlformats.org/officeDocument/2006/relationships/hyperlink" Target="https://familiesusa.org/resources/the-importance-of-premium-tax-credits-affording-health-insurance-coast-to-coast/" TargetMode="External" Id="Recdea06fa9c545b9" /><Relationship Type="http://schemas.openxmlformats.org/officeDocument/2006/relationships/hyperlink" Target="https://www.kff.org/affordable-care-act/poll-most-of-the-public-support-extending-the-acas-enhanced-premium-tax-credits-including-most-republicans-and-maga-supporters/" TargetMode="External" Id="Rb64df95daa6f4d2c" /><Relationship Type="http://schemas.openxmlformats.org/officeDocument/2006/relationships/hyperlink" Target="https://familiesusa.org/resources/august-of-accountability-republicans-actions-in-july-are-causing-insurance-rates-to-skyrocket/" TargetMode="External" Id="R43c34ebbb7ba42b5" /><Relationship Type="http://schemas.openxmlformats.org/officeDocument/2006/relationships/hyperlink" Target="https://www.washingtonpost.com/opinions/2025/08/08/health-insurance-premiums-rising/" TargetMode="External" Id="R64b9bc8d532f4143" /><Relationship Type="http://schemas.openxmlformats.org/officeDocument/2006/relationships/hyperlink" Target="https://familiesusa.org/resources/actions-by-trump-and-congress-are-leading-to-skyrocketing-insurance-premiums-in-2026/" TargetMode="External" Id="Rf09ff4bce61c470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Holland</dc:creator>
  <keywords/>
  <dc:description/>
  <lastModifiedBy>Lisa Holland</lastModifiedBy>
  <revision>12</revision>
  <dcterms:created xsi:type="dcterms:W3CDTF">2025-09-08T19:29:00.0000000Z</dcterms:created>
  <dcterms:modified xsi:type="dcterms:W3CDTF">2025-09-16T18:44:54.8005616Z</dcterms:modified>
</coreProperties>
</file>